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B5" w:rsidRDefault="002336A0" w:rsidP="002336A0">
      <w:pPr>
        <w:jc w:val="center"/>
        <w:rPr>
          <w:sz w:val="28"/>
          <w:szCs w:val="28"/>
          <w:u w:val="single"/>
        </w:rPr>
      </w:pPr>
      <w:bookmarkStart w:id="0" w:name="_GoBack"/>
      <w:bookmarkEnd w:id="0"/>
      <w:r w:rsidRPr="002336A0">
        <w:rPr>
          <w:sz w:val="28"/>
          <w:szCs w:val="28"/>
          <w:u w:val="single"/>
        </w:rPr>
        <w:t>UMBC Guide for Honorarium Payments</w:t>
      </w:r>
    </w:p>
    <w:p w:rsidR="00086FE9" w:rsidRDefault="00086FE9" w:rsidP="002336A0">
      <w:pPr>
        <w:jc w:val="center"/>
        <w:rPr>
          <w:sz w:val="28"/>
          <w:szCs w:val="28"/>
          <w:u w:val="single"/>
        </w:rPr>
      </w:pPr>
    </w:p>
    <w:p w:rsidR="002336A0" w:rsidRDefault="002336A0" w:rsidP="002336A0">
      <w:pPr>
        <w:spacing w:after="0" w:line="240" w:lineRule="auto"/>
        <w:rPr>
          <w:sz w:val="24"/>
          <w:szCs w:val="24"/>
        </w:rPr>
      </w:pPr>
      <w:r>
        <w:rPr>
          <w:sz w:val="24"/>
          <w:szCs w:val="24"/>
        </w:rPr>
        <w:t>The State of Maryland Ethics Commission defines honorarium payments as the payment of money or anything of value for:  1) speaking to, participating in, or attending a meeting or other function; or 2) writing an article that has been or is intended to be published.</w:t>
      </w:r>
    </w:p>
    <w:p w:rsidR="002336A0" w:rsidRDefault="002336A0" w:rsidP="002336A0">
      <w:pPr>
        <w:spacing w:after="0" w:line="240" w:lineRule="auto"/>
        <w:rPr>
          <w:sz w:val="24"/>
          <w:szCs w:val="24"/>
        </w:rPr>
      </w:pPr>
    </w:p>
    <w:p w:rsidR="002336A0" w:rsidRDefault="002336A0" w:rsidP="002336A0">
      <w:pPr>
        <w:spacing w:after="0" w:line="240" w:lineRule="auto"/>
        <w:rPr>
          <w:sz w:val="24"/>
          <w:szCs w:val="24"/>
        </w:rPr>
      </w:pPr>
      <w:r>
        <w:rPr>
          <w:sz w:val="24"/>
          <w:szCs w:val="24"/>
        </w:rPr>
        <w:t>An honorarium payment is provided as a token of appreciation for participation in an activity or event, and not as a contractual obligation to pay for services rendered.  Honorariums are usually onetime payments made to an individual (not a corporation, business or partnership) who is not an employee of the University, for a special and non-recurring activity or event.</w:t>
      </w:r>
    </w:p>
    <w:p w:rsidR="002336A0" w:rsidRDefault="002336A0" w:rsidP="002336A0">
      <w:pPr>
        <w:spacing w:after="0" w:line="240" w:lineRule="auto"/>
        <w:rPr>
          <w:sz w:val="24"/>
          <w:szCs w:val="24"/>
        </w:rPr>
      </w:pPr>
    </w:p>
    <w:p w:rsidR="002336A0" w:rsidRDefault="002336A0" w:rsidP="002336A0">
      <w:pPr>
        <w:spacing w:after="0" w:line="240" w:lineRule="auto"/>
        <w:rPr>
          <w:sz w:val="24"/>
          <w:szCs w:val="24"/>
        </w:rPr>
      </w:pPr>
      <w:r>
        <w:rPr>
          <w:sz w:val="24"/>
          <w:szCs w:val="24"/>
        </w:rPr>
        <w:t>“Usual Academic Activity” means activity conducted for the benefit of the honorarium-paying Institution and includes lecturing, teaching, readings, and performances, conducting research, attending meetings, symposia or seminars, or otherwise sharing knowledge.</w:t>
      </w:r>
    </w:p>
    <w:p w:rsidR="002336A0" w:rsidRDefault="002336A0" w:rsidP="002336A0">
      <w:pPr>
        <w:spacing w:after="0" w:line="240" w:lineRule="auto"/>
        <w:rPr>
          <w:sz w:val="24"/>
          <w:szCs w:val="24"/>
        </w:rPr>
      </w:pPr>
    </w:p>
    <w:p w:rsidR="002336A0" w:rsidRDefault="002336A0" w:rsidP="002336A0">
      <w:pPr>
        <w:spacing w:after="0" w:line="240" w:lineRule="auto"/>
        <w:rPr>
          <w:sz w:val="24"/>
          <w:szCs w:val="24"/>
        </w:rPr>
      </w:pPr>
      <w:r>
        <w:rPr>
          <w:sz w:val="24"/>
          <w:szCs w:val="24"/>
        </w:rPr>
        <w:t>Determination of Honorarium Payments:</w:t>
      </w:r>
    </w:p>
    <w:p w:rsidR="002336A0" w:rsidRDefault="002336A0" w:rsidP="002336A0">
      <w:pPr>
        <w:pStyle w:val="ListParagraph"/>
        <w:numPr>
          <w:ilvl w:val="0"/>
          <w:numId w:val="1"/>
        </w:numPr>
        <w:spacing w:after="0" w:line="240" w:lineRule="auto"/>
        <w:rPr>
          <w:sz w:val="24"/>
          <w:szCs w:val="24"/>
        </w:rPr>
      </w:pPr>
      <w:r>
        <w:rPr>
          <w:sz w:val="24"/>
          <w:szCs w:val="24"/>
        </w:rPr>
        <w:t xml:space="preserve"> Is the individual a business, corporation or partnership?</w:t>
      </w:r>
    </w:p>
    <w:p w:rsidR="002336A0" w:rsidRDefault="002336A0" w:rsidP="002336A0">
      <w:pPr>
        <w:pStyle w:val="ListParagraph"/>
        <w:numPr>
          <w:ilvl w:val="0"/>
          <w:numId w:val="1"/>
        </w:numPr>
        <w:spacing w:after="0" w:line="240" w:lineRule="auto"/>
        <w:rPr>
          <w:sz w:val="24"/>
          <w:szCs w:val="24"/>
        </w:rPr>
      </w:pPr>
      <w:r>
        <w:rPr>
          <w:sz w:val="24"/>
          <w:szCs w:val="24"/>
        </w:rPr>
        <w:t>Was the payment amount negotiated between the University and the individual?</w:t>
      </w:r>
    </w:p>
    <w:p w:rsidR="002336A0" w:rsidRDefault="002336A0" w:rsidP="002336A0">
      <w:pPr>
        <w:pStyle w:val="ListParagraph"/>
        <w:numPr>
          <w:ilvl w:val="0"/>
          <w:numId w:val="1"/>
        </w:numPr>
        <w:spacing w:after="0" w:line="240" w:lineRule="auto"/>
        <w:rPr>
          <w:sz w:val="24"/>
          <w:szCs w:val="24"/>
        </w:rPr>
      </w:pPr>
      <w:r>
        <w:rPr>
          <w:sz w:val="24"/>
          <w:szCs w:val="24"/>
        </w:rPr>
        <w:t>Is there a contractual agreement?</w:t>
      </w:r>
    </w:p>
    <w:p w:rsidR="002336A0" w:rsidRDefault="002336A0" w:rsidP="002336A0">
      <w:pPr>
        <w:pStyle w:val="ListParagraph"/>
        <w:numPr>
          <w:ilvl w:val="0"/>
          <w:numId w:val="1"/>
        </w:numPr>
        <w:spacing w:after="0" w:line="240" w:lineRule="auto"/>
        <w:rPr>
          <w:sz w:val="24"/>
          <w:szCs w:val="24"/>
        </w:rPr>
      </w:pPr>
      <w:r>
        <w:rPr>
          <w:sz w:val="24"/>
          <w:szCs w:val="24"/>
        </w:rPr>
        <w:t>Are the individual’s services recurring?</w:t>
      </w:r>
    </w:p>
    <w:p w:rsidR="002336A0" w:rsidRDefault="002336A0" w:rsidP="002336A0">
      <w:pPr>
        <w:pStyle w:val="ListParagraph"/>
        <w:numPr>
          <w:ilvl w:val="0"/>
          <w:numId w:val="1"/>
        </w:numPr>
        <w:spacing w:after="0" w:line="240" w:lineRule="auto"/>
        <w:rPr>
          <w:sz w:val="24"/>
          <w:szCs w:val="24"/>
        </w:rPr>
      </w:pPr>
      <w:r>
        <w:rPr>
          <w:sz w:val="24"/>
          <w:szCs w:val="24"/>
        </w:rPr>
        <w:t>Is the individual a UMBC employee or student employee?</w:t>
      </w:r>
    </w:p>
    <w:p w:rsidR="002336A0" w:rsidRDefault="002336A0" w:rsidP="002336A0">
      <w:pPr>
        <w:pStyle w:val="ListParagraph"/>
        <w:numPr>
          <w:ilvl w:val="0"/>
          <w:numId w:val="1"/>
        </w:numPr>
        <w:spacing w:after="0" w:line="240" w:lineRule="auto"/>
        <w:rPr>
          <w:sz w:val="24"/>
          <w:szCs w:val="24"/>
        </w:rPr>
      </w:pPr>
      <w:r>
        <w:rPr>
          <w:sz w:val="24"/>
          <w:szCs w:val="24"/>
        </w:rPr>
        <w:t>Did the individual set the price?</w:t>
      </w:r>
    </w:p>
    <w:p w:rsidR="002336A0" w:rsidRDefault="002336A0" w:rsidP="002336A0">
      <w:pPr>
        <w:pStyle w:val="ListParagraph"/>
        <w:spacing w:after="0" w:line="240" w:lineRule="auto"/>
        <w:rPr>
          <w:sz w:val="24"/>
          <w:szCs w:val="24"/>
        </w:rPr>
      </w:pPr>
    </w:p>
    <w:p w:rsidR="002336A0" w:rsidRDefault="002336A0" w:rsidP="002336A0">
      <w:pPr>
        <w:pStyle w:val="ListParagraph"/>
        <w:spacing w:after="0" w:line="240" w:lineRule="auto"/>
        <w:rPr>
          <w:sz w:val="24"/>
          <w:szCs w:val="24"/>
        </w:rPr>
      </w:pPr>
    </w:p>
    <w:p w:rsidR="002336A0" w:rsidRDefault="002336A0" w:rsidP="00086FE9">
      <w:pPr>
        <w:pStyle w:val="ListParagraph"/>
        <w:spacing w:after="0" w:line="240" w:lineRule="auto"/>
        <w:ind w:left="0"/>
        <w:rPr>
          <w:sz w:val="24"/>
          <w:szCs w:val="24"/>
        </w:rPr>
      </w:pPr>
      <w:r>
        <w:rPr>
          <w:sz w:val="24"/>
          <w:szCs w:val="24"/>
        </w:rPr>
        <w:t>If y</w:t>
      </w:r>
      <w:r w:rsidR="00086FE9">
        <w:rPr>
          <w:sz w:val="24"/>
          <w:szCs w:val="24"/>
        </w:rPr>
        <w:t>o</w:t>
      </w:r>
      <w:r>
        <w:rPr>
          <w:sz w:val="24"/>
          <w:szCs w:val="24"/>
        </w:rPr>
        <w:t>u have answered</w:t>
      </w:r>
      <w:r w:rsidR="00086FE9">
        <w:rPr>
          <w:sz w:val="24"/>
          <w:szCs w:val="24"/>
        </w:rPr>
        <w:t xml:space="preserve"> </w:t>
      </w:r>
      <w:r w:rsidR="00086FE9">
        <w:rPr>
          <w:b/>
          <w:sz w:val="24"/>
          <w:szCs w:val="24"/>
        </w:rPr>
        <w:t xml:space="preserve">“yes” </w:t>
      </w:r>
      <w:r w:rsidR="00086FE9">
        <w:rPr>
          <w:sz w:val="24"/>
          <w:szCs w:val="24"/>
        </w:rPr>
        <w:t xml:space="preserve">to any of the above questions, the payment </w:t>
      </w:r>
      <w:r w:rsidR="00086FE9">
        <w:rPr>
          <w:b/>
          <w:sz w:val="24"/>
          <w:szCs w:val="24"/>
        </w:rPr>
        <w:t xml:space="preserve">does not </w:t>
      </w:r>
      <w:r w:rsidR="00086FE9">
        <w:rPr>
          <w:sz w:val="24"/>
          <w:szCs w:val="24"/>
        </w:rPr>
        <w:t>qualify as an honorarium.</w:t>
      </w:r>
    </w:p>
    <w:p w:rsidR="00086FE9" w:rsidRDefault="00086FE9" w:rsidP="00086FE9">
      <w:pPr>
        <w:pStyle w:val="ListParagraph"/>
        <w:spacing w:after="0" w:line="240" w:lineRule="auto"/>
        <w:ind w:left="0"/>
        <w:rPr>
          <w:sz w:val="24"/>
          <w:szCs w:val="24"/>
        </w:rPr>
      </w:pPr>
    </w:p>
    <w:p w:rsidR="00086FE9" w:rsidRDefault="00086FE9" w:rsidP="00086FE9">
      <w:pPr>
        <w:pStyle w:val="ListParagraph"/>
        <w:spacing w:after="0" w:line="240" w:lineRule="auto"/>
        <w:ind w:left="0"/>
        <w:rPr>
          <w:sz w:val="24"/>
          <w:szCs w:val="24"/>
        </w:rPr>
      </w:pPr>
      <w:r>
        <w:rPr>
          <w:b/>
          <w:sz w:val="24"/>
          <w:szCs w:val="24"/>
        </w:rPr>
        <w:t xml:space="preserve">Please Note:  </w:t>
      </w:r>
      <w:r>
        <w:rPr>
          <w:sz w:val="24"/>
          <w:szCs w:val="24"/>
        </w:rPr>
        <w:t>Under IRS regulations, honorarium payments are considered taxable income.  Therefore, as a matter of policy, the recipient of an honorarium may not transfer the payment to another organization or individual.  If the honorarium recipient wishes to transfer the payment to another organization or individual, he or she must receive the money and then donate it.</w:t>
      </w:r>
    </w:p>
    <w:p w:rsidR="00086FE9" w:rsidRPr="00086FE9" w:rsidRDefault="00086FE9" w:rsidP="00086FE9">
      <w:pPr>
        <w:pStyle w:val="ListParagraph"/>
        <w:spacing w:after="0" w:line="240" w:lineRule="auto"/>
        <w:rPr>
          <w:sz w:val="24"/>
          <w:szCs w:val="24"/>
        </w:rPr>
      </w:pPr>
    </w:p>
    <w:p w:rsidR="00086FE9" w:rsidRDefault="00086FE9" w:rsidP="002336A0">
      <w:pPr>
        <w:pStyle w:val="ListParagraph"/>
        <w:spacing w:after="0" w:line="240" w:lineRule="auto"/>
        <w:rPr>
          <w:sz w:val="24"/>
          <w:szCs w:val="24"/>
        </w:rPr>
      </w:pPr>
    </w:p>
    <w:p w:rsidR="00086FE9" w:rsidRPr="00086FE9" w:rsidRDefault="00086FE9" w:rsidP="002336A0">
      <w:pPr>
        <w:pStyle w:val="ListParagraph"/>
        <w:spacing w:after="0" w:line="240" w:lineRule="auto"/>
        <w:rPr>
          <w:sz w:val="24"/>
          <w:szCs w:val="24"/>
        </w:rPr>
      </w:pPr>
    </w:p>
    <w:sectPr w:rsidR="00086FE9" w:rsidRPr="00086F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C9" w:rsidRDefault="007058C9" w:rsidP="007058C9">
      <w:pPr>
        <w:spacing w:after="0" w:line="240" w:lineRule="auto"/>
      </w:pPr>
      <w:r>
        <w:separator/>
      </w:r>
    </w:p>
  </w:endnote>
  <w:endnote w:type="continuationSeparator" w:id="0">
    <w:p w:rsidR="007058C9" w:rsidRDefault="007058C9" w:rsidP="0070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C9" w:rsidRDefault="007058C9">
    <w:pPr>
      <w:pStyle w:val="Footer"/>
    </w:pPr>
    <w:r>
      <w:t>Updated 7/1/16</w:t>
    </w:r>
  </w:p>
  <w:p w:rsidR="007058C9" w:rsidRDefault="00705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C9" w:rsidRDefault="007058C9" w:rsidP="007058C9">
      <w:pPr>
        <w:spacing w:after="0" w:line="240" w:lineRule="auto"/>
      </w:pPr>
      <w:r>
        <w:separator/>
      </w:r>
    </w:p>
  </w:footnote>
  <w:footnote w:type="continuationSeparator" w:id="0">
    <w:p w:rsidR="007058C9" w:rsidRDefault="007058C9" w:rsidP="00705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45476"/>
    <w:multiLevelType w:val="hybridMultilevel"/>
    <w:tmpl w:val="5540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A0"/>
    <w:rsid w:val="00086FE9"/>
    <w:rsid w:val="002336A0"/>
    <w:rsid w:val="007058C9"/>
    <w:rsid w:val="007D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A0"/>
    <w:pPr>
      <w:ind w:left="720"/>
      <w:contextualSpacing/>
    </w:pPr>
  </w:style>
  <w:style w:type="paragraph" w:styleId="Header">
    <w:name w:val="header"/>
    <w:basedOn w:val="Normal"/>
    <w:link w:val="HeaderChar"/>
    <w:uiPriority w:val="99"/>
    <w:unhideWhenUsed/>
    <w:rsid w:val="0070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C9"/>
  </w:style>
  <w:style w:type="paragraph" w:styleId="Footer">
    <w:name w:val="footer"/>
    <w:basedOn w:val="Normal"/>
    <w:link w:val="FooterChar"/>
    <w:uiPriority w:val="99"/>
    <w:unhideWhenUsed/>
    <w:rsid w:val="0070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C9"/>
  </w:style>
  <w:style w:type="paragraph" w:styleId="BalloonText">
    <w:name w:val="Balloon Text"/>
    <w:basedOn w:val="Normal"/>
    <w:link w:val="BalloonTextChar"/>
    <w:uiPriority w:val="99"/>
    <w:semiHidden/>
    <w:unhideWhenUsed/>
    <w:rsid w:val="0070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A0"/>
    <w:pPr>
      <w:ind w:left="720"/>
      <w:contextualSpacing/>
    </w:pPr>
  </w:style>
  <w:style w:type="paragraph" w:styleId="Header">
    <w:name w:val="header"/>
    <w:basedOn w:val="Normal"/>
    <w:link w:val="HeaderChar"/>
    <w:uiPriority w:val="99"/>
    <w:unhideWhenUsed/>
    <w:rsid w:val="0070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C9"/>
  </w:style>
  <w:style w:type="paragraph" w:styleId="Footer">
    <w:name w:val="footer"/>
    <w:basedOn w:val="Normal"/>
    <w:link w:val="FooterChar"/>
    <w:uiPriority w:val="99"/>
    <w:unhideWhenUsed/>
    <w:rsid w:val="0070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C9"/>
  </w:style>
  <w:style w:type="paragraph" w:styleId="BalloonText">
    <w:name w:val="Balloon Text"/>
    <w:basedOn w:val="Normal"/>
    <w:link w:val="BalloonTextChar"/>
    <w:uiPriority w:val="99"/>
    <w:semiHidden/>
    <w:unhideWhenUsed/>
    <w:rsid w:val="0070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2016-06-03T18:39:00Z</dcterms:created>
  <dcterms:modified xsi:type="dcterms:W3CDTF">2016-06-22T18:59:00Z</dcterms:modified>
</cp:coreProperties>
</file>